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63A" w:rsidRDefault="0074363A" w:rsidP="0074363A">
      <w:pPr>
        <w:rPr>
          <w:color w:val="000000"/>
          <w:shd w:val="clear" w:color="auto" w:fill="FFFFFF"/>
        </w:rPr>
      </w:pPr>
      <w:bookmarkStart w:id="0" w:name="_GoBack"/>
      <w:bookmarkEnd w:id="0"/>
      <w:r>
        <w:rPr>
          <w:color w:val="000000"/>
          <w:shd w:val="clear" w:color="auto" w:fill="FFFFFF"/>
        </w:rPr>
        <w:t xml:space="preserve">As we discussed, your questions were a bit difficult to answer in the sense that I think the real question is not IF you have the authority to have categories similar to the state Minor Project (MP) and General Permit (GP) activities, but whether having such categories makes sense for the township. </w:t>
      </w:r>
    </w:p>
    <w:p w:rsidR="0074363A" w:rsidRDefault="0074363A" w:rsidP="0074363A">
      <w:pPr>
        <w:rPr>
          <w:color w:val="000000"/>
          <w:shd w:val="clear" w:color="auto" w:fill="FFFFFF"/>
        </w:rPr>
      </w:pPr>
    </w:p>
    <w:p w:rsidR="0074363A" w:rsidRDefault="0074363A" w:rsidP="0074363A">
      <w:pPr>
        <w:rPr>
          <w:color w:val="000000"/>
          <w:shd w:val="clear" w:color="auto" w:fill="FFFFFF"/>
        </w:rPr>
      </w:pPr>
      <w:r>
        <w:rPr>
          <w:color w:val="000000"/>
          <w:shd w:val="clear" w:color="auto" w:fill="FFFFFF"/>
        </w:rPr>
        <w:t xml:space="preserve">The DEQ categories are set up so that they outline Best Management Practices that we have found work for particular activities and circumstances. The categories are constantly changing as science evolves and stakeholder needs arise, which takes significant time and effort. In addition, we are required by law to reissue these categories at minimum every 5 years, but often do so more frequently. Our MP/GP categories are set up to incentivize applicants through lower fees for projects that fit the category criteria. A project that meets these categories has a lower fee for the application and does not require a public notice; however, it does not change the review timeframes outlined in statute.  </w:t>
      </w:r>
    </w:p>
    <w:p w:rsidR="0074363A" w:rsidRDefault="0074363A" w:rsidP="0074363A">
      <w:pPr>
        <w:rPr>
          <w:color w:val="000000"/>
          <w:shd w:val="clear" w:color="auto" w:fill="FFFFFF"/>
        </w:rPr>
      </w:pPr>
    </w:p>
    <w:p w:rsidR="0074363A" w:rsidRDefault="0074363A" w:rsidP="0074363A">
      <w:pPr>
        <w:rPr>
          <w:color w:val="000000"/>
          <w:shd w:val="clear" w:color="auto" w:fill="FFFFFF"/>
        </w:rPr>
      </w:pPr>
      <w:r>
        <w:rPr>
          <w:color w:val="000000"/>
          <w:shd w:val="clear" w:color="auto" w:fill="FFFFFF"/>
        </w:rPr>
        <w:t xml:space="preserve">While having BMPs for particular projects may provide a tool for municipalities during review of an application, it would not necessarily change the process of review or timeframes. The township could reduce the permitting timeframe for some projects (as seemed to be the intent) without creating these categories. Introducing categories such as these may end up complicating your process and confusing applicants, especially for projects impacting wetlands that are also regulated by the state or that are for projects included in the state MP/GPs. </w:t>
      </w:r>
    </w:p>
    <w:p w:rsidR="0074363A" w:rsidRDefault="0074363A" w:rsidP="0074363A">
      <w:pPr>
        <w:rPr>
          <w:color w:val="000000"/>
          <w:shd w:val="clear" w:color="auto" w:fill="FFFFFF"/>
        </w:rPr>
      </w:pPr>
    </w:p>
    <w:p w:rsidR="0074363A" w:rsidRDefault="0074363A" w:rsidP="0074363A">
      <w:pPr>
        <w:rPr>
          <w:color w:val="000000"/>
          <w:shd w:val="clear" w:color="auto" w:fill="FFFFFF"/>
        </w:rPr>
      </w:pPr>
      <w:r>
        <w:rPr>
          <w:color w:val="000000"/>
          <w:shd w:val="clear" w:color="auto" w:fill="FFFFFF"/>
        </w:rPr>
        <w:t xml:space="preserve">Part 303 does not stipulate that local governments use DEQ’s MP/GP categories.  A wetland ordinance can be operated by a local unit of government as outlined in Michigan’s Wetlands Protection Act, Part 30307(4) as follows: </w:t>
      </w:r>
    </w:p>
    <w:p w:rsidR="0074363A" w:rsidRDefault="0074363A" w:rsidP="0074363A">
      <w:pPr>
        <w:numPr>
          <w:ilvl w:val="0"/>
          <w:numId w:val="1"/>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The ordinance shall not provide a different definition of wetland than is provided in this part, except that a wetland ordinance may regulate wetland of less than 5 acres in size.</w:t>
      </w:r>
    </w:p>
    <w:p w:rsidR="0074363A" w:rsidRDefault="0074363A" w:rsidP="0074363A">
      <w:pPr>
        <w:numPr>
          <w:ilvl w:val="0"/>
          <w:numId w:val="1"/>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If the ordinance regulates wetland that is smaller than 2 acres in size, the ordinance shall comply with section 30309.</w:t>
      </w:r>
    </w:p>
    <w:p w:rsidR="0074363A" w:rsidRDefault="0074363A" w:rsidP="0074363A">
      <w:pPr>
        <w:numPr>
          <w:ilvl w:val="0"/>
          <w:numId w:val="1"/>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The ordinance shall comply with sections 30308 and 30310.</w:t>
      </w:r>
    </w:p>
    <w:p w:rsidR="0074363A" w:rsidRDefault="0074363A" w:rsidP="0074363A">
      <w:pPr>
        <w:numPr>
          <w:ilvl w:val="0"/>
          <w:numId w:val="1"/>
        </w:numPr>
        <w:shd w:val="clear" w:color="auto" w:fill="FFFFFF"/>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The ordinance shall not require a permit for uses that are authorized without a permit under section 30305, and shall otherwise comply with this part.</w:t>
      </w:r>
    </w:p>
    <w:p w:rsidR="0074363A" w:rsidRDefault="0074363A" w:rsidP="0074363A">
      <w:pPr>
        <w:rPr>
          <w:color w:val="000000"/>
          <w:shd w:val="clear" w:color="auto" w:fill="FFFFFF"/>
        </w:rPr>
      </w:pPr>
      <w:r>
        <w:rPr>
          <w:color w:val="000000"/>
          <w:shd w:val="clear" w:color="auto" w:fill="FFFFFF"/>
        </w:rPr>
        <w:t>Section 30308 generally outlines how to set up an ordinance (wetland inventory map, application, decision makers, etc.) and 30310 outlines some parameters if an application is denied.</w:t>
      </w:r>
    </w:p>
    <w:p w:rsidR="0074363A" w:rsidRDefault="0074363A" w:rsidP="0074363A">
      <w:pPr>
        <w:rPr>
          <w:color w:val="000000"/>
          <w:shd w:val="clear" w:color="auto" w:fill="FFFFFF"/>
        </w:rPr>
      </w:pPr>
    </w:p>
    <w:p w:rsidR="0074363A" w:rsidRDefault="0074363A" w:rsidP="0074363A">
      <w:pPr>
        <w:rPr>
          <w:color w:val="000000"/>
          <w:shd w:val="clear" w:color="auto" w:fill="FFFFFF"/>
        </w:rPr>
      </w:pPr>
      <w:r>
        <w:rPr>
          <w:color w:val="000000"/>
          <w:shd w:val="clear" w:color="auto" w:fill="FFFFFF"/>
        </w:rPr>
        <w:t>Section 30309 answers your second question. In order to regulate wetlands less than 2 acres in size at a local level, the local unit of government must make the determination that the wetland is essential at a local level by finding that the wetland provides one of the functions listed:</w:t>
      </w:r>
    </w:p>
    <w:p w:rsidR="0074363A" w:rsidRDefault="0074363A" w:rsidP="0074363A">
      <w:pPr>
        <w:rPr>
          <w:rFonts w:ascii="Verdana" w:hAnsi="Verdana"/>
          <w:b/>
          <w:bCs/>
          <w:color w:val="000000"/>
          <w:sz w:val="20"/>
          <w:szCs w:val="20"/>
          <w:shd w:val="clear" w:color="auto" w:fill="FFFFFF"/>
        </w:rPr>
      </w:pPr>
    </w:p>
    <w:p w:rsidR="0074363A" w:rsidRDefault="0074363A" w:rsidP="0074363A">
      <w:pPr>
        <w:rPr>
          <w:sz w:val="20"/>
          <w:szCs w:val="20"/>
        </w:rPr>
      </w:pPr>
      <w:r>
        <w:rPr>
          <w:rFonts w:ascii="Verdana" w:hAnsi="Verdana"/>
          <w:b/>
          <w:bCs/>
          <w:color w:val="000000"/>
          <w:sz w:val="20"/>
          <w:szCs w:val="20"/>
          <w:shd w:val="clear" w:color="auto" w:fill="FFFFFF"/>
        </w:rPr>
        <w:t>324.30309 Regulation by local unit of government of wetland less than 2 acres; permit application; determination.</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Sec. 30309.</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 xml:space="preserve">A local unit of government that has adopted an ordinance under section 30307(4) that regulates wetland within its jurisdiction that is less than 2 acres in size shall comply with this section. Upon application for a wetland use permit in a wetland that is less than 2 acres in size, the local unit of government shall approve the permit unless the local unit of government determines that the wetland is essential to the preservation of the natural resources of the local unit of government and provides these findings, in writing, to the permit applicant stating the reasons for this determination. In making this determination, </w:t>
      </w:r>
      <w:r>
        <w:rPr>
          <w:rFonts w:ascii="Verdana" w:hAnsi="Verdana"/>
          <w:color w:val="000000"/>
          <w:sz w:val="20"/>
          <w:szCs w:val="20"/>
        </w:rPr>
        <w:lastRenderedPageBreak/>
        <w:t>the local unit of government must find that 1 or more of the following exist at the particular site:</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(a) The site supports state or federal endangered or threatened plants, fish, or wildlife appearing on a list specified in section 36505.</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(b) The site represents what is identified as a locally rare or unique ecosystem.</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(c) The site supports plants or animals of an identified local importance.</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(d) The site provides groundwater recharge documented by a public agency.</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(e) The site provides flood and storm control by the hydrologic absorption and storage capacity of the wetland.</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(f) The site provides wildlife habitat by providing breeding, nesting, or feeding grounds or cover for forms of wildlife, waterfowl, including migratory waterfowl, and rare, threatened, or endangered wildlife species.</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(g) The site provides protection of subsurface water resources and provision of valuable watersheds and recharging groundwater supplies.</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(h) The site provides pollution treatment by serving as a biological and chemical oxidation basin.</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The site provides erosion control by serving as a sedimentation area and filtering basin, absorbing silt and organic matter.</w:t>
      </w:r>
    </w:p>
    <w:p w:rsidR="0074363A" w:rsidRDefault="0074363A" w:rsidP="0074363A">
      <w:pPr>
        <w:shd w:val="clear" w:color="auto" w:fill="FFFFFF"/>
        <w:rPr>
          <w:rFonts w:ascii="Verdana" w:hAnsi="Verdana"/>
          <w:color w:val="000000"/>
          <w:sz w:val="20"/>
          <w:szCs w:val="20"/>
        </w:rPr>
      </w:pPr>
      <w:r>
        <w:rPr>
          <w:rFonts w:ascii="Verdana" w:hAnsi="Verdana"/>
          <w:color w:val="000000"/>
          <w:sz w:val="20"/>
          <w:szCs w:val="20"/>
        </w:rPr>
        <w:t>(j) The site provides sources of nutrients in water food cycles and nursery grounds and sanctuaries for fish.</w:t>
      </w:r>
    </w:p>
    <w:p w:rsidR="0074363A" w:rsidRDefault="0074363A" w:rsidP="0074363A"/>
    <w:p w:rsidR="0074363A" w:rsidRDefault="0074363A" w:rsidP="0074363A">
      <w:r>
        <w:t xml:space="preserve">The recent changes you asked about in SB1211 (now PA 631 that takes effect 3/29/19) do not affect the local unit of government wetland ordinance provisions. The changes in SB1211 that we discussed during our call has to do with the state level essentiality determinations, which has a different process and criteria. </w:t>
      </w:r>
    </w:p>
    <w:p w:rsidR="0074363A" w:rsidRDefault="0074363A" w:rsidP="0074363A"/>
    <w:p w:rsidR="0074363A" w:rsidRDefault="0074363A" w:rsidP="0074363A">
      <w:r>
        <w:t>I hope this has answered your questions. Feel free to pass on my name and contact information to your commission.</w:t>
      </w:r>
    </w:p>
    <w:p w:rsidR="0074363A" w:rsidRDefault="0074363A" w:rsidP="0074363A"/>
    <w:p w:rsidR="0074363A" w:rsidRDefault="0074363A" w:rsidP="0074363A">
      <w:r>
        <w:t>Thank you,</w:t>
      </w:r>
    </w:p>
    <w:p w:rsidR="0074363A" w:rsidRDefault="0074363A" w:rsidP="0074363A"/>
    <w:p w:rsidR="0074363A" w:rsidRDefault="0074363A" w:rsidP="0074363A">
      <w:pPr>
        <w:rPr>
          <w:rFonts w:ascii="Rage Italic" w:hAnsi="Rage Italic"/>
          <w:color w:val="0070C0"/>
          <w:sz w:val="52"/>
          <w:szCs w:val="52"/>
        </w:rPr>
      </w:pPr>
      <w:r>
        <w:rPr>
          <w:rFonts w:ascii="Rage Italic" w:hAnsi="Rage Italic"/>
          <w:color w:val="0070C0"/>
          <w:sz w:val="52"/>
          <w:szCs w:val="52"/>
        </w:rPr>
        <w:t>Amy</w:t>
      </w:r>
    </w:p>
    <w:p w:rsidR="0074363A" w:rsidRDefault="0074363A" w:rsidP="0074363A">
      <w:r>
        <w:t>Amy Berry</w:t>
      </w:r>
    </w:p>
    <w:p w:rsidR="0074363A" w:rsidRDefault="0074363A" w:rsidP="0074363A">
      <w:r>
        <w:t>Wetlands Protection Analyst</w:t>
      </w:r>
    </w:p>
    <w:p w:rsidR="0074363A" w:rsidRDefault="0074363A" w:rsidP="0074363A">
      <w:r>
        <w:t>Wetlands, Lakes, and Streams Unit</w:t>
      </w:r>
    </w:p>
    <w:p w:rsidR="0074363A" w:rsidRDefault="0074363A" w:rsidP="0074363A">
      <w:r>
        <w:t>Water Resources Division</w:t>
      </w:r>
    </w:p>
    <w:p w:rsidR="0074363A" w:rsidRDefault="0074363A" w:rsidP="0074363A">
      <w:r>
        <w:t>Michigan Department of Environmental Quality</w:t>
      </w:r>
    </w:p>
    <w:p w:rsidR="0074363A" w:rsidRDefault="0074363A" w:rsidP="0074363A">
      <w:pPr>
        <w:rPr>
          <w:color w:val="0070C0"/>
        </w:rPr>
      </w:pPr>
      <w:hyperlink r:id="rId5" w:history="1">
        <w:r>
          <w:rPr>
            <w:rStyle w:val="Hyperlink"/>
            <w:color w:val="0070C0"/>
          </w:rPr>
          <w:t>berrya2@michigan.gov</w:t>
        </w:r>
      </w:hyperlink>
    </w:p>
    <w:p w:rsidR="0074363A" w:rsidRDefault="0074363A" w:rsidP="0074363A">
      <w:pPr>
        <w:rPr>
          <w:color w:val="4472C4"/>
        </w:rPr>
      </w:pPr>
      <w:r>
        <w:rPr>
          <w:color w:val="4472C4"/>
        </w:rPr>
        <w:t xml:space="preserve">517-243-6547 </w:t>
      </w:r>
    </w:p>
    <w:p w:rsidR="0074363A" w:rsidRDefault="0074363A" w:rsidP="0074363A"/>
    <w:p w:rsidR="00D15A34" w:rsidRDefault="00D15A34"/>
    <w:sectPr w:rsidR="00D15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95E30"/>
    <w:multiLevelType w:val="hybridMultilevel"/>
    <w:tmpl w:val="0F9290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3A"/>
    <w:rsid w:val="0074363A"/>
    <w:rsid w:val="00D1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CAAE2-AA61-4397-AAC7-9441EEA3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6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rya2@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Harvey</dc:creator>
  <cp:keywords/>
  <dc:description/>
  <cp:lastModifiedBy>LeRoy Harvey</cp:lastModifiedBy>
  <cp:revision>1</cp:revision>
  <dcterms:created xsi:type="dcterms:W3CDTF">2019-02-05T21:10:00Z</dcterms:created>
  <dcterms:modified xsi:type="dcterms:W3CDTF">2019-02-05T21:13:00Z</dcterms:modified>
</cp:coreProperties>
</file>